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DC47" w14:textId="77777777" w:rsidR="00ED0A26" w:rsidRDefault="00ED0A26">
      <w:pPr>
        <w:rPr>
          <w:rFonts w:ascii="Trebuchet MS" w:eastAsia="Trebuchet MS" w:hAnsi="Trebuchet MS" w:cs="Trebuchet MS"/>
        </w:rPr>
      </w:pPr>
    </w:p>
    <w:p w14:paraId="3111E32A" w14:textId="77777777" w:rsidR="00343EBB" w:rsidRDefault="00343EBB">
      <w:pPr>
        <w:rPr>
          <w:rFonts w:ascii="Trebuchet MS" w:eastAsia="Trebuchet MS" w:hAnsi="Trebuchet MS" w:cs="Trebuchet MS"/>
          <w:b/>
          <w:sz w:val="26"/>
          <w:szCs w:val="26"/>
        </w:rPr>
      </w:pPr>
    </w:p>
    <w:p w14:paraId="61CED51F" w14:textId="77777777" w:rsidR="00343EBB" w:rsidRDefault="00343EBB">
      <w:pPr>
        <w:rPr>
          <w:rFonts w:ascii="Trebuchet MS" w:eastAsia="Trebuchet MS" w:hAnsi="Trebuchet MS" w:cs="Trebuchet MS"/>
          <w:b/>
          <w:sz w:val="26"/>
          <w:szCs w:val="26"/>
        </w:rPr>
      </w:pPr>
    </w:p>
    <w:p w14:paraId="76A94C0C" w14:textId="77777777" w:rsidR="00343EBB" w:rsidRDefault="00343EBB">
      <w:pPr>
        <w:rPr>
          <w:rFonts w:ascii="Trebuchet MS" w:eastAsia="Trebuchet MS" w:hAnsi="Trebuchet MS" w:cs="Trebuchet MS"/>
          <w:b/>
          <w:sz w:val="26"/>
          <w:szCs w:val="26"/>
        </w:rPr>
      </w:pPr>
    </w:p>
    <w:p w14:paraId="7F123FC7" w14:textId="77777777" w:rsidR="00343EBB" w:rsidRDefault="00343EBB">
      <w:pPr>
        <w:rPr>
          <w:rFonts w:ascii="Trebuchet MS" w:eastAsia="Trebuchet MS" w:hAnsi="Trebuchet MS" w:cs="Trebuchet MS"/>
          <w:b/>
          <w:sz w:val="26"/>
          <w:szCs w:val="26"/>
        </w:rPr>
      </w:pPr>
    </w:p>
    <w:p w14:paraId="106660DB" w14:textId="77777777" w:rsidR="00343EBB" w:rsidRDefault="00343EBB">
      <w:pPr>
        <w:rPr>
          <w:rFonts w:ascii="Trebuchet MS" w:eastAsia="Trebuchet MS" w:hAnsi="Trebuchet MS" w:cs="Trebuchet MS"/>
          <w:b/>
          <w:sz w:val="26"/>
          <w:szCs w:val="26"/>
        </w:rPr>
      </w:pPr>
    </w:p>
    <w:p w14:paraId="5099E752" w14:textId="77777777" w:rsidR="00343EBB" w:rsidRDefault="00343EBB">
      <w:pPr>
        <w:rPr>
          <w:rFonts w:ascii="Trebuchet MS" w:eastAsia="Trebuchet MS" w:hAnsi="Trebuchet MS" w:cs="Trebuchet MS"/>
          <w:b/>
          <w:sz w:val="26"/>
          <w:szCs w:val="26"/>
        </w:rPr>
      </w:pPr>
    </w:p>
    <w:p w14:paraId="5E5642D1" w14:textId="429E5E71" w:rsidR="00ED0A26" w:rsidRDefault="00000000">
      <w:pPr>
        <w:rPr>
          <w:rFonts w:ascii="Trebuchet MS" w:eastAsia="Trebuchet MS" w:hAnsi="Trebuchet MS" w:cs="Trebuchet MS"/>
          <w:b/>
          <w:sz w:val="26"/>
          <w:szCs w:val="26"/>
        </w:rPr>
      </w:pPr>
      <w:r>
        <w:rPr>
          <w:rFonts w:ascii="Trebuchet MS" w:eastAsia="Trebuchet MS" w:hAnsi="Trebuchet MS" w:cs="Trebuchet MS"/>
          <w:b/>
          <w:sz w:val="26"/>
          <w:szCs w:val="26"/>
        </w:rPr>
        <w:t>Voorstel aanpassing begrotings- en verantwoordingscyclus.</w:t>
      </w:r>
    </w:p>
    <w:p w14:paraId="2E4E4084" w14:textId="77777777" w:rsidR="00ED0A26" w:rsidRDefault="00ED0A26">
      <w:pPr>
        <w:rPr>
          <w:rFonts w:ascii="Trebuchet MS" w:eastAsia="Trebuchet MS" w:hAnsi="Trebuchet MS" w:cs="Trebuchet MS"/>
        </w:rPr>
      </w:pPr>
    </w:p>
    <w:p w14:paraId="0B0DD3B6" w14:textId="77777777" w:rsidR="00ED0A26" w:rsidRDefault="00000000">
      <w:pPr>
        <w:rPr>
          <w:rFonts w:ascii="Trebuchet MS" w:eastAsia="Trebuchet MS" w:hAnsi="Trebuchet MS" w:cs="Trebuchet MS"/>
          <w:b/>
          <w:sz w:val="20"/>
          <w:szCs w:val="20"/>
        </w:rPr>
      </w:pPr>
      <w:r>
        <w:rPr>
          <w:rFonts w:ascii="Trebuchet MS" w:eastAsia="Trebuchet MS" w:hAnsi="Trebuchet MS" w:cs="Trebuchet MS"/>
          <w:b/>
          <w:sz w:val="20"/>
          <w:szCs w:val="20"/>
        </w:rPr>
        <w:t>Doel van dit voorstel is om de leden goedkeuring voor de begroting te geven vóórdat een nieuw financieel jaar begint.</w:t>
      </w:r>
    </w:p>
    <w:p w14:paraId="2C7F92BC" w14:textId="77777777" w:rsidR="00ED0A26" w:rsidRDefault="00ED0A26">
      <w:pPr>
        <w:rPr>
          <w:rFonts w:ascii="Trebuchet MS" w:eastAsia="Trebuchet MS" w:hAnsi="Trebuchet MS" w:cs="Trebuchet MS"/>
          <w:sz w:val="20"/>
          <w:szCs w:val="20"/>
        </w:rPr>
      </w:pPr>
    </w:p>
    <w:p w14:paraId="352CF0D1" w14:textId="77777777" w:rsidR="00ED0A26" w:rsidRDefault="00000000">
      <w:pPr>
        <w:rPr>
          <w:rFonts w:ascii="Trebuchet MS" w:eastAsia="Trebuchet MS" w:hAnsi="Trebuchet MS" w:cs="Trebuchet MS"/>
          <w:b/>
          <w:sz w:val="20"/>
          <w:szCs w:val="20"/>
        </w:rPr>
      </w:pPr>
      <w:r>
        <w:rPr>
          <w:rFonts w:ascii="Trebuchet MS" w:eastAsia="Trebuchet MS" w:hAnsi="Trebuchet MS" w:cs="Trebuchet MS"/>
          <w:b/>
          <w:sz w:val="20"/>
          <w:szCs w:val="20"/>
        </w:rPr>
        <w:t>Hoe werkt het nu</w:t>
      </w:r>
    </w:p>
    <w:p w14:paraId="181F5673"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 xml:space="preserve">Voorheen agendeerde het bestuur de begroting tijdens de ALV in juni, tegelijk met het financieel verslag van het jaar daarvoor. </w:t>
      </w:r>
    </w:p>
    <w:p w14:paraId="05442910" w14:textId="77777777" w:rsidR="00ED0A26" w:rsidRDefault="00ED0A26">
      <w:pPr>
        <w:rPr>
          <w:rFonts w:ascii="Trebuchet MS" w:eastAsia="Trebuchet MS" w:hAnsi="Trebuchet MS" w:cs="Trebuchet MS"/>
          <w:sz w:val="20"/>
          <w:szCs w:val="20"/>
        </w:rPr>
      </w:pPr>
    </w:p>
    <w:p w14:paraId="22E7EF88"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Het voordeel daarvan is dat er op basis van het financieel verslag van het vorige jaar een realistische inschatting voor het nieuwe jaar gemaakt kan worden.</w:t>
      </w:r>
    </w:p>
    <w:p w14:paraId="36DCE808"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 xml:space="preserve">Nadeel daarvan is dat de ALV pas instemt, terwijl het financiële jaar al maanden aan de gang is. </w:t>
      </w:r>
    </w:p>
    <w:p w14:paraId="53BE5A84" w14:textId="77777777" w:rsidR="00ED0A26" w:rsidRDefault="00ED0A26">
      <w:pPr>
        <w:rPr>
          <w:rFonts w:ascii="Trebuchet MS" w:eastAsia="Trebuchet MS" w:hAnsi="Trebuchet MS" w:cs="Trebuchet MS"/>
          <w:sz w:val="20"/>
          <w:szCs w:val="20"/>
        </w:rPr>
      </w:pPr>
    </w:p>
    <w:p w14:paraId="48A34B1A"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 xml:space="preserve">Door de digitalisering van bijna alle financiële stromen en een toegankelijker boekhoudsysteem, waar het bestuur continu in kan kijken, is er direct inzicht in begrote posten en de daadwerkelijke uitgaven die de vereniging doet. Daardoor is het makkelijker om de begroting eerder dan tot nu toe, aan de ALV voor te leggen. </w:t>
      </w:r>
    </w:p>
    <w:p w14:paraId="3B84F36C" w14:textId="77777777" w:rsidR="00ED0A26" w:rsidRDefault="00ED0A26">
      <w:pPr>
        <w:rPr>
          <w:rFonts w:ascii="Trebuchet MS" w:eastAsia="Trebuchet MS" w:hAnsi="Trebuchet MS" w:cs="Trebuchet MS"/>
          <w:sz w:val="20"/>
          <w:szCs w:val="20"/>
        </w:rPr>
      </w:pPr>
    </w:p>
    <w:p w14:paraId="767B3AF1"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 xml:space="preserve">Voor dit besluit is geen aanpassing van de Statuten (artikel 14) nodig.  </w:t>
      </w:r>
    </w:p>
    <w:p w14:paraId="70911F0B" w14:textId="77777777" w:rsidR="00ED0A26" w:rsidRDefault="00ED0A26">
      <w:pPr>
        <w:rPr>
          <w:rFonts w:ascii="Trebuchet MS" w:eastAsia="Trebuchet MS" w:hAnsi="Trebuchet MS" w:cs="Trebuchet MS"/>
          <w:sz w:val="20"/>
          <w:szCs w:val="20"/>
        </w:rPr>
      </w:pPr>
    </w:p>
    <w:p w14:paraId="0A60CDA1" w14:textId="77777777" w:rsidR="00ED0A26" w:rsidRDefault="00000000">
      <w:pPr>
        <w:rPr>
          <w:rFonts w:ascii="Trebuchet MS" w:eastAsia="Trebuchet MS" w:hAnsi="Trebuchet MS" w:cs="Trebuchet MS"/>
          <w:b/>
          <w:sz w:val="20"/>
          <w:szCs w:val="20"/>
        </w:rPr>
      </w:pPr>
      <w:r>
        <w:rPr>
          <w:rFonts w:ascii="Trebuchet MS" w:eastAsia="Trebuchet MS" w:hAnsi="Trebuchet MS" w:cs="Trebuchet MS"/>
          <w:b/>
          <w:sz w:val="20"/>
          <w:szCs w:val="20"/>
        </w:rPr>
        <w:t>Voorstel ALV</w:t>
      </w:r>
    </w:p>
    <w:p w14:paraId="3EBD4ADE" w14:textId="77777777" w:rsidR="00ED0A26" w:rsidRDefault="00000000">
      <w:pPr>
        <w:rPr>
          <w:rFonts w:ascii="Trebuchet MS" w:eastAsia="Trebuchet MS" w:hAnsi="Trebuchet MS" w:cs="Trebuchet MS"/>
          <w:sz w:val="20"/>
          <w:szCs w:val="20"/>
        </w:rPr>
      </w:pPr>
      <w:r>
        <w:rPr>
          <w:rFonts w:ascii="Trebuchet MS" w:eastAsia="Trebuchet MS" w:hAnsi="Trebuchet MS" w:cs="Trebuchet MS"/>
          <w:sz w:val="20"/>
          <w:szCs w:val="20"/>
        </w:rPr>
        <w:t xml:space="preserve">Het bestuur stel voor voortaan de begroting in een ALV te agenderen voordat het - het financiële jaar begint en vraagt in deze ALV goedkeuring aan de leden. </w:t>
      </w:r>
    </w:p>
    <w:p w14:paraId="7EEDF505" w14:textId="77777777" w:rsidR="00ED0A26" w:rsidRDefault="00ED0A26">
      <w:pPr>
        <w:rPr>
          <w:rFonts w:ascii="Trebuchet MS" w:eastAsia="Trebuchet MS" w:hAnsi="Trebuchet MS" w:cs="Trebuchet MS"/>
          <w:sz w:val="20"/>
          <w:szCs w:val="20"/>
        </w:rPr>
      </w:pPr>
    </w:p>
    <w:p w14:paraId="09DDC0DF" w14:textId="77777777" w:rsidR="00ED0A26" w:rsidRDefault="00ED0A26">
      <w:pPr>
        <w:rPr>
          <w:rFonts w:ascii="Trebuchet MS" w:eastAsia="Trebuchet MS" w:hAnsi="Trebuchet MS" w:cs="Trebuchet MS"/>
          <w:sz w:val="20"/>
          <w:szCs w:val="20"/>
        </w:rPr>
      </w:pPr>
    </w:p>
    <w:p w14:paraId="1B3CEED3" w14:textId="77777777" w:rsidR="00ED0A26" w:rsidRDefault="00ED0A26">
      <w:pPr>
        <w:rPr>
          <w:rFonts w:ascii="Trebuchet MS" w:eastAsia="Trebuchet MS" w:hAnsi="Trebuchet MS" w:cs="Trebuchet MS"/>
          <w:sz w:val="20"/>
          <w:szCs w:val="20"/>
        </w:rPr>
      </w:pPr>
    </w:p>
    <w:sectPr w:rsidR="00ED0A26">
      <w:headerReference w:type="even" r:id="rId6"/>
      <w:headerReference w:type="default" r:id="rId7"/>
      <w:headerReference w:type="first" r:id="rId8"/>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24D9" w14:textId="77777777" w:rsidR="00AE053B" w:rsidRDefault="00AE053B">
      <w:r>
        <w:separator/>
      </w:r>
    </w:p>
  </w:endnote>
  <w:endnote w:type="continuationSeparator" w:id="0">
    <w:p w14:paraId="0366D291" w14:textId="77777777" w:rsidR="00AE053B" w:rsidRDefault="00AE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1877" w14:textId="77777777" w:rsidR="00AE053B" w:rsidRDefault="00AE053B">
      <w:r>
        <w:separator/>
      </w:r>
    </w:p>
  </w:footnote>
  <w:footnote w:type="continuationSeparator" w:id="0">
    <w:p w14:paraId="512F613E" w14:textId="77777777" w:rsidR="00AE053B" w:rsidRDefault="00AE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58B" w14:textId="77777777" w:rsidR="00ED0A26" w:rsidRDefault="00000000">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56704" behindDoc="1" locked="0" layoutInCell="1" hidden="0" allowOverlap="1" wp14:anchorId="55CA891F" wp14:editId="55FB599B">
          <wp:simplePos x="0" y="0"/>
          <wp:positionH relativeFrom="margin">
            <wp:align>center</wp:align>
          </wp:positionH>
          <wp:positionV relativeFrom="margin">
            <wp:align>center</wp:align>
          </wp:positionV>
          <wp:extent cx="5259705" cy="74396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59705" cy="7439660"/>
                  </a:xfrm>
                  <a:prstGeom prst="rect">
                    <a:avLst/>
                  </a:prstGeom>
                  <a:ln/>
                </pic:spPr>
              </pic:pic>
            </a:graphicData>
          </a:graphic>
        </wp:anchor>
      </w:drawing>
    </w:r>
    <w:r>
      <w:rPr>
        <w:color w:val="000000"/>
      </w:rPr>
      <w:pict w14:anchorId="26A9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14.15pt;height:585.8pt;z-index:-251656704;mso-position-horizontal:center;mso-position-horizontal-relative:margin;mso-position-vertical:center;mso-position-vertical-relative:margin">
          <v:imagedata r:id="rId2"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89AC" w14:textId="77777777" w:rsidR="00ED0A26" w:rsidRDefault="00000000">
    <w:pPr>
      <w:pBdr>
        <w:top w:val="nil"/>
        <w:left w:val="nil"/>
        <w:bottom w:val="nil"/>
        <w:right w:val="nil"/>
        <w:between w:val="nil"/>
      </w:pBdr>
      <w:tabs>
        <w:tab w:val="center" w:pos="4320"/>
        <w:tab w:val="right" w:pos="8640"/>
      </w:tabs>
      <w:rPr>
        <w:color w:val="000000"/>
      </w:rPr>
    </w:pPr>
    <w:r>
      <w:rPr>
        <w:color w:val="000000"/>
      </w:rPr>
      <w:pict w14:anchorId="4BBAE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90pt;margin-top:-1in;width:598.1pt;height:846pt;z-index:-251658752;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EB95" w14:textId="77777777" w:rsidR="00ED0A26" w:rsidRDefault="00000000">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55680" behindDoc="1" locked="0" layoutInCell="1" hidden="0" allowOverlap="1" wp14:anchorId="5D45CA4D" wp14:editId="596ED0D3">
          <wp:simplePos x="0" y="0"/>
          <wp:positionH relativeFrom="margin">
            <wp:align>center</wp:align>
          </wp:positionH>
          <wp:positionV relativeFrom="margin">
            <wp:align>center</wp:align>
          </wp:positionV>
          <wp:extent cx="5259705" cy="743966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59705" cy="7439660"/>
                  </a:xfrm>
                  <a:prstGeom prst="rect">
                    <a:avLst/>
                  </a:prstGeom>
                  <a:ln/>
                </pic:spPr>
              </pic:pic>
            </a:graphicData>
          </a:graphic>
        </wp:anchor>
      </w:drawing>
    </w:r>
    <w:r>
      <w:rPr>
        <w:color w:val="000000"/>
      </w:rPr>
      <w:pict w14:anchorId="0B4E1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14.15pt;height:585.8pt;z-index:-251657728;mso-position-horizontal:center;mso-position-horizontal-relative:margin;mso-position-vertical:center;mso-position-vertical-relative:margin">
          <v:imagedata r:id="rId2"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6"/>
    <w:rsid w:val="00343EBB"/>
    <w:rsid w:val="00AE053B"/>
    <w:rsid w:val="00ED0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3A678"/>
  <w15:docId w15:val="{6857D368-BCFC-4650-9C59-EBBC95E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Schouten</cp:lastModifiedBy>
  <cp:revision>2</cp:revision>
  <cp:lastPrinted>2022-11-04T17:21:00Z</cp:lastPrinted>
  <dcterms:created xsi:type="dcterms:W3CDTF">2022-11-04T17:19:00Z</dcterms:created>
  <dcterms:modified xsi:type="dcterms:W3CDTF">2022-11-04T17:21:00Z</dcterms:modified>
</cp:coreProperties>
</file>