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2">
      <w:pPr>
        <w:spacing w:line="276" w:lineRule="auto"/>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Permanent wonen op tuin serieuze bedreiging voor onze vereniging</w:t>
      </w:r>
    </w:p>
    <w:p w:rsidR="00000000" w:rsidDel="00000000" w:rsidP="00000000" w:rsidRDefault="00000000" w:rsidRPr="00000000" w14:paraId="00000003">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4">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Wat ons bindt is dat we allemaal houden van tuinieren. Samen vormen we een vereniging. De visie van onze vereniging is er op gericht dat ook de volgende generatie kan genieten waar wij met z’n allen van genieten. In dit kader vormt een kleine groep tuinders die permanent op de tuin woont, een serieus probleem. Met deze notitie wil het bestuur uitleggen waarom dit een probleem is, om vervolgens in de ALV met leden van gedachten te wisselen over oplossingen.</w:t>
      </w:r>
    </w:p>
    <w:p w:rsidR="00000000" w:rsidDel="00000000" w:rsidP="00000000" w:rsidRDefault="00000000" w:rsidRPr="00000000" w14:paraId="00000005">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Volkstuincomplexen zijn aangelegd in een tijd dat er ruimte over was. Ondertussen heeft elke m</w:t>
      </w:r>
      <w:r w:rsidDel="00000000" w:rsidR="00000000" w:rsidRPr="00000000">
        <w:rPr>
          <w:rFonts w:ascii="Trebuchet MS" w:cs="Trebuchet MS" w:eastAsia="Trebuchet MS" w:hAnsi="Trebuchet MS"/>
          <w:sz w:val="20"/>
          <w:szCs w:val="20"/>
          <w:vertAlign w:val="superscript"/>
          <w:rtl w:val="0"/>
        </w:rPr>
        <w:t xml:space="preserve">2</w:t>
      </w:r>
      <w:r w:rsidDel="00000000" w:rsidR="00000000" w:rsidRPr="00000000">
        <w:rPr>
          <w:rFonts w:ascii="Trebuchet MS" w:cs="Trebuchet MS" w:eastAsia="Trebuchet MS" w:hAnsi="Trebuchet MS"/>
          <w:sz w:val="20"/>
          <w:szCs w:val="20"/>
          <w:rtl w:val="0"/>
        </w:rPr>
        <w:t xml:space="preserve"> in en rondom Rotterdam een bestemming: wonen, werken, industrie, groen of recreatie. </w:t>
      </w:r>
    </w:p>
    <w:p w:rsidR="00000000" w:rsidDel="00000000" w:rsidP="00000000" w:rsidRDefault="00000000" w:rsidRPr="00000000" w14:paraId="00000007">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8">
      <w:pPr>
        <w:pStyle w:val="Subtitle"/>
        <w:spacing w:line="276" w:lineRule="auto"/>
        <w:rPr/>
      </w:pPr>
      <w:bookmarkStart w:colFirst="0" w:colLast="0" w:name="_a71m9e8xx9rv" w:id="0"/>
      <w:bookmarkEnd w:id="0"/>
      <w:r w:rsidDel="00000000" w:rsidR="00000000" w:rsidRPr="00000000">
        <w:rPr>
          <w:rtl w:val="0"/>
        </w:rPr>
        <w:t xml:space="preserve">Twee jaar geleden speelde de dreiging dat een deel van Streven Naar Verbetering moest wijken voor voetbalvelden. Nu dreigen verenigingen in de Esch te moeten wijken voor woningen. In campagnes om annexatie te voorkomen bestempelen we volkstuinen als groen: ze dragen bij aan noodzakelijke biodiversiteit, CO</w:t>
      </w:r>
      <w:r w:rsidDel="00000000" w:rsidR="00000000" w:rsidRPr="00000000">
        <w:rPr>
          <w:vertAlign w:val="subscript"/>
          <w:rtl w:val="0"/>
        </w:rPr>
        <w:t xml:space="preserve">2</w:t>
      </w:r>
      <w:r w:rsidDel="00000000" w:rsidR="00000000" w:rsidRPr="00000000">
        <w:rPr>
          <w:rtl w:val="0"/>
        </w:rPr>
        <w:t xml:space="preserve">-reductie en bestrijding van hittestress.</w:t>
      </w:r>
    </w:p>
    <w:p w:rsidR="00000000" w:rsidDel="00000000" w:rsidP="00000000" w:rsidRDefault="00000000" w:rsidRPr="00000000" w14:paraId="00000009">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A">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Nu de SVIN stopt, broedt de gemeente op nieuwe huurovereenkomsten met bijbehorende kwaliteitseisen. In dat kader zijn alle 44 volkstuinverenigingen in Rotterdam beoordeeld. Vier verenigingen hebben code rood gekregen. Vanwege criminele activiteiten, volgebouwde tuinen en permanente bewoning. </w:t>
      </w:r>
    </w:p>
    <w:p w:rsidR="00000000" w:rsidDel="00000000" w:rsidP="00000000" w:rsidRDefault="00000000" w:rsidRPr="00000000" w14:paraId="0000000B">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C">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 hebben al gehoord dat de gemeente twee verschillende huurovereenkomsten gaat aanbieden. Een overeenkomst voor 4 jaar en een overeenkomst voor 1 jaar voor verenigingen met code rood. Een korte periode om orde op zaken te stellen. Lukt dat niet, dan is het einde oefening.</w:t>
      </w:r>
    </w:p>
    <w:p w:rsidR="00000000" w:rsidDel="00000000" w:rsidP="00000000" w:rsidRDefault="00000000" w:rsidRPr="00000000" w14:paraId="0000000D">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E">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Begrijp ons goed. Onze vereniging heeft geen code rood gekregen. Bij ons is ook geen sprake van criminele activiteiten en volgebouwde tuinen. Wel zijn er ca. 15 tuinders die permanent op de tuin wonen.</w:t>
      </w:r>
    </w:p>
    <w:p w:rsidR="00000000" w:rsidDel="00000000" w:rsidP="00000000" w:rsidRDefault="00000000" w:rsidRPr="00000000" w14:paraId="0000000F">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0">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 het licht van het bovenstaande is permanente bewoning ongewenst. Hoe meer permanente bewoners, hoe groter de kans op code rood. Ook wordt volkstuinen bestempelen als groen of recreatie steeds lastiger.</w:t>
      </w:r>
    </w:p>
    <w:p w:rsidR="00000000" w:rsidDel="00000000" w:rsidP="00000000" w:rsidRDefault="00000000" w:rsidRPr="00000000" w14:paraId="00000011">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Navraag via platform wijst uit: permanente bewoning is bij onze vereniging een groter probleem dan bij veel andere verenigingen. Simpelweg omdat bij veel andere verenigingen het water in de winter wordt afgesloten.</w:t>
      </w:r>
    </w:p>
    <w:p w:rsidR="00000000" w:rsidDel="00000000" w:rsidP="00000000" w:rsidRDefault="00000000" w:rsidRPr="00000000" w14:paraId="00000013">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Kortom, een groeiende groep permanente bewoners is een serieus probleem voor onze vereniging.</w:t>
      </w:r>
    </w:p>
    <w:p w:rsidR="00000000" w:rsidDel="00000000" w:rsidP="00000000" w:rsidRDefault="00000000" w:rsidRPr="00000000" w14:paraId="00000015">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6">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 tuinders die permanent op de tuin wonen, weten dat het niet mag, doen het toch en laten zich niet door bestuursleden naar huis sturen.</w:t>
      </w:r>
      <w:r w:rsidDel="00000000" w:rsidR="00000000" w:rsidRPr="00000000">
        <w:br w:type="page"/>
      </w:r>
      <w:r w:rsidDel="00000000" w:rsidR="00000000" w:rsidRPr="00000000">
        <w:rPr>
          <w:rtl w:val="0"/>
        </w:rPr>
      </w:r>
    </w:p>
    <w:p w:rsidR="00000000" w:rsidDel="00000000" w:rsidP="00000000" w:rsidRDefault="00000000" w:rsidRPr="00000000" w14:paraId="00000017">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8">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Vraag aan de vereniging:</w:t>
      </w:r>
    </w:p>
    <w:p w:rsidR="00000000" w:rsidDel="00000000" w:rsidP="00000000" w:rsidRDefault="00000000" w:rsidRPr="00000000" w14:paraId="00000019">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Hoe moeten wij hier als bestuur/vereniging mee omgaan?</w:t>
      </w:r>
    </w:p>
    <w:p w:rsidR="00000000" w:rsidDel="00000000" w:rsidP="00000000" w:rsidRDefault="00000000" w:rsidRPr="00000000" w14:paraId="0000001A">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B">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 afgelopen jaren hebben er veranderingen plaatsgevonden die het makkelijker maken om in ook in de winter op de tuin te wonen. Er is elektra aangelegd, het drinkwater wordt niet meer afgesloten en ook in de winter kon je afval kwijt in het containerhok. Fijn voor alle tuinders, maar een kleine groep woont daardoor permanent op Eigen Hof. </w:t>
      </w:r>
    </w:p>
    <w:p w:rsidR="00000000" w:rsidDel="00000000" w:rsidP="00000000" w:rsidRDefault="00000000" w:rsidRPr="00000000" w14:paraId="0000001C">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1D">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Moeten we een winterslot op het afvaldepot doen; net zoals op het achterhek?</w:t>
      </w:r>
    </w:p>
    <w:p w:rsidR="00000000" w:rsidDel="00000000" w:rsidP="00000000" w:rsidRDefault="00000000" w:rsidRPr="00000000" w14:paraId="0000001E">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Moeten we het water in de winter afsluiten; net zoals veel andere verenigingen doen?</w:t>
      </w:r>
    </w:p>
    <w:p w:rsidR="00000000" w:rsidDel="00000000" w:rsidP="00000000" w:rsidRDefault="00000000" w:rsidRPr="00000000" w14:paraId="0000001F">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Jammer aan dergelijke maatregelen is dat andere tuinders hier ook ongemak van ondervinden.</w:t>
      </w:r>
    </w:p>
    <w:p w:rsidR="00000000" w:rsidDel="00000000" w:rsidP="00000000" w:rsidRDefault="00000000" w:rsidRPr="00000000" w14:paraId="00000021">
      <w:pPr>
        <w:spacing w:line="276"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rPr>
      </w:pPr>
      <w:r w:rsidDel="00000000" w:rsidR="00000000" w:rsidRPr="00000000">
        <w:rPr>
          <w:rtl w:val="0"/>
        </w:rPr>
      </w:r>
    </w:p>
    <w:sectPr>
      <w:headerReference r:id="rId6" w:type="default"/>
      <w:headerReference r:id="rId7" w:type="first"/>
      <w:head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3" style="position:absolute;width:598.0999212598425pt;height:846.0pt;rotation:0;z-index:-503316481;mso-position-horizontal-relative:margin;mso-position-horizontal:absolute;margin-left:-90.0pt;mso-position-vertical-relative:margin;mso-position-vertical:absolute;margin-top:-72.0pt;" alt="" type="#_x0000_t75">
          <v:imagedata cropbottom="0f" cropleft="0f" cropright="0f" croptop="0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59705" cy="743966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59705" cy="743966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414.15pt;height:585.8pt;rotation:0;z-index:-503316481;mso-position-horizontal-relative:margin;mso-position-horizontal:center;mso-position-vertical-relative:margin;mso-position-vertical:center;" alt="" type="#_x0000_t75">
          <v:imagedata cropbottom="0f" cropleft="0f" cropright="0f" croptop="0f" r:id="rId2"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59705" cy="743966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59705" cy="743966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414.15pt;height:585.8pt;rotation:0;z-index:-503316481;mso-position-horizontal-relative:margin;mso-position-horizontal:center;mso-position-vertical-relative:margin;mso-position-vertical:center;" alt="" type="#_x0000_t75">
          <v:imagedata cropbottom="0f" cropleft="0f" cropright="0f" croptop="0f" r:id="rId2"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line="276" w:lineRule="auto"/>
    </w:pPr>
    <w:rPr>
      <w:rFonts w:ascii="Trebuchet MS" w:cs="Trebuchet MS" w:eastAsia="Trebuchet MS" w:hAnsi="Trebuchet MS"/>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